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85"/>
      </w:tblGrid>
      <w:tr>
        <w:trPr>
          <w:trHeight w:hRule="atLeast" w:val="1246"/>
        </w:trP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В</w:t>
            </w:r>
            <w:r>
              <w:rPr>
                <w:rFonts w:ascii="Times New Roman" w:hAnsi="Times New Roman"/>
                <w:b w:val="1"/>
                <w:sz w:val="28"/>
              </w:rPr>
              <w:t>ерховным Судом РФ обобщена практика рассмотрения судами административных дел об оспаривании нормативных правовых актов субъектов РФ, которыми установлены дополнительные меры социальной поддержки участникам СВО и членам их семей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p w14:paraId="06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</w:t>
      </w:r>
      <w:r>
        <w:rPr>
          <w:rFonts w:ascii="Times New Roman" w:hAnsi="Times New Roman"/>
          <w:b w:val="0"/>
          <w:sz w:val="28"/>
        </w:rPr>
        <w:t>В Обзоре отмечено, в частности, следующее:</w:t>
      </w:r>
    </w:p>
    <w:p w14:paraId="07000000">
      <w:pPr>
        <w:spacing w:after="0" w:before="168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 право участника СВО на получение в субъекте РФ мер социальной поддержки не может быть поставлено в зависимость от даты его регистрации по месту жительства в этом субъекте;</w:t>
      </w:r>
    </w:p>
    <w:p w14:paraId="08000000">
      <w:pPr>
        <w:spacing w:after="0" w:before="168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 отказ в предоставлении дополнительной меры социальной поддержки военнослужащему, принимавшему участие в СВО, исключительно на основе того, в какую воинскую часть Вооруженных Сил РФ, выполнявшую задачи в зоне СВО, он был зачислен, является неправомерным;</w:t>
      </w:r>
    </w:p>
    <w:p w14:paraId="09000000">
      <w:pPr>
        <w:spacing w:after="0" w:before="168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 предусматривая во исполнение норм федерального законодательства дополнительные меры социальной поддержки участникам СВО, законодатель субъекта РФ не вправе сужать по сравнению с положениями федерального законодательства круг лиц, которым данная мера адресована.</w:t>
      </w:r>
    </w:p>
    <w:p w14:paraId="0A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B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C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С.В. Новик</w:t>
      </w:r>
    </w:p>
    <w:p w14:paraId="0D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10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1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180"/>
        <w:gridCol/>
      </w:tblGrid>
      <w:tr>
        <w:tc>
          <w:tcPr>
            <w:tcW w:type="dxa" w:w="180"/>
            <w:vAlign w:val="top"/>
          </w:tcPr>
          <w:p w14:paraId="13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vAlign w:val="center"/>
          </w:tcPr>
          <w:p w14:paraId="14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5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   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</w:p>
    <w:p w14:paraId="16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7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</w:t>
      </w:r>
    </w:p>
    <w:tbl>
      <w:tblPr>
        <w:tblStyle w:val="Style_1"/>
        <w:tblW w:type="auto" w:w="0"/>
        <w:tblLayout w:type="fixed"/>
      </w:tblPr>
      <w:tblGrid>
        <w:gridCol w:w="180"/>
        <w:gridCol w:w="200"/>
      </w:tblGrid>
      <w:tr>
        <w:tc>
          <w:tcPr>
            <w:tcW w:type="dxa" w:w="180"/>
            <w:vAlign w:val="top"/>
          </w:tcPr>
          <w:p w14:paraId="18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200"/>
            <w:vAlign w:val="center"/>
          </w:tcPr>
          <w:p w14:paraId="19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A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B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2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2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2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2026-02-18T08:13:42Z</dcterms:modified>
</cp:coreProperties>
</file>